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widowControl w:val="1"/>
        <w:jc w:val="center"/>
        <w:rPr>
          <w:kern w:val="0"/>
          <w:sz w:val="28"/>
          <w:szCs w:val="28"/>
          <w:lang w:val="ja-JP" w:eastAsia="ja-JP"/>
        </w:rPr>
      </w:pPr>
      <w:r>
        <w:rPr>
          <w:rFonts w:ascii="游明朝" w:cs="游明朝" w:hAnsi="游明朝" w:eastAsia="游明朝"/>
          <w:b w:val="1"/>
          <w:bCs w:val="1"/>
          <w:outline w:val="0"/>
          <w:color w:val="000000"/>
          <w:kern w:val="0"/>
          <w:sz w:val="28"/>
          <w:szCs w:val="28"/>
          <w:u w:color="000000"/>
          <w:rtl w:val="0"/>
          <w:lang w:val="ja-JP" w:eastAsia="ja-JP"/>
          <w14:textFill>
            <w14:solidFill>
              <w14:srgbClr w14:val="000000"/>
            </w14:solidFill>
          </w14:textFill>
        </w:rPr>
        <w:t>特定商取引法に基づく表記</w:t>
      </w:r>
    </w:p>
    <w:tbl>
      <w:tblPr>
        <w:tblW w:w="8494" w:type="dxa"/>
        <w:jc w:val="center"/>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1339"/>
        <w:gridCol w:w="7155"/>
      </w:tblGrid>
      <w:tr>
        <w:tblPrEx>
          <w:shd w:val="clear" w:color="auto" w:fill="cdd4e9"/>
        </w:tblPrEx>
        <w:trPr>
          <w:trHeight w:val="250" w:hRule="atLeast"/>
        </w:trPr>
        <w:tc>
          <w:tcPr>
            <w:tcW w:type="dxa" w:w="13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1"/>
            </w:pPr>
            <w:r>
              <w:rPr>
                <w:kern w:val="0"/>
                <w:sz w:val="21"/>
                <w:szCs w:val="21"/>
                <w:shd w:val="nil" w:color="auto" w:fill="auto"/>
                <w:rtl w:val="0"/>
                <w:lang w:val="ja-JP" w:eastAsia="ja-JP"/>
              </w:rPr>
              <w:t>商品名</w:t>
            </w:r>
          </w:p>
        </w:tc>
        <w:tc>
          <w:tcPr>
            <w:tcW w:type="dxa" w:w="71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1"/>
            </w:pPr>
            <w:r>
              <w:rPr>
                <w:rFonts w:ascii="游明朝" w:cs="游明朝" w:hAnsi="游明朝" w:eastAsia="游明朝"/>
                <w:kern w:val="0"/>
                <w:sz w:val="24"/>
                <w:szCs w:val="24"/>
                <w:rtl w:val="0"/>
                <w:lang w:val="ja-JP" w:eastAsia="ja-JP"/>
              </w:rPr>
              <w:t>阪本塾のコンサルティングサービス</w:t>
            </w:r>
          </w:p>
        </w:tc>
      </w:tr>
      <w:tr>
        <w:tblPrEx>
          <w:shd w:val="clear" w:color="auto" w:fill="cdd4e9"/>
        </w:tblPrEx>
        <w:trPr>
          <w:trHeight w:val="805" w:hRule="atLeast"/>
        </w:trPr>
        <w:tc>
          <w:tcPr>
            <w:tcW w:type="dxa" w:w="13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1"/>
            </w:pPr>
            <w:r>
              <w:rPr>
                <w:kern w:val="0"/>
                <w:sz w:val="21"/>
                <w:szCs w:val="21"/>
                <w:shd w:val="nil" w:color="auto" w:fill="auto"/>
                <w:rtl w:val="0"/>
                <w:lang w:val="ja-JP" w:eastAsia="ja-JP"/>
              </w:rPr>
              <w:t>販売事業者名（会社名）</w:t>
            </w:r>
          </w:p>
        </w:tc>
        <w:tc>
          <w:tcPr>
            <w:tcW w:type="dxa" w:w="71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1"/>
            </w:pPr>
            <w:r>
              <w:rPr>
                <w:kern w:val="0"/>
                <w:sz w:val="24"/>
                <w:szCs w:val="24"/>
                <w:shd w:val="nil" w:color="auto" w:fill="auto"/>
                <w:rtl w:val="0"/>
                <w:lang w:val="ja-JP" w:eastAsia="ja-JP"/>
              </w:rPr>
              <w:t>阪本</w:t>
            </w:r>
            <w:r>
              <w:rPr>
                <w:kern w:val="0"/>
                <w:sz w:val="24"/>
                <w:szCs w:val="24"/>
                <w:rtl w:val="0"/>
                <w:lang w:val="ja-JP" w:eastAsia="ja-JP"/>
              </w:rPr>
              <w:t>英生</w:t>
            </w:r>
          </w:p>
        </w:tc>
      </w:tr>
      <w:tr>
        <w:tblPrEx>
          <w:shd w:val="clear" w:color="auto" w:fill="cdd4e9"/>
        </w:tblPrEx>
        <w:trPr>
          <w:trHeight w:val="205" w:hRule="atLeast"/>
        </w:trPr>
        <w:tc>
          <w:tcPr>
            <w:tcW w:type="dxa" w:w="13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1"/>
            </w:pPr>
            <w:r>
              <w:rPr>
                <w:kern w:val="0"/>
                <w:sz w:val="21"/>
                <w:szCs w:val="21"/>
                <w:shd w:val="nil" w:color="auto" w:fill="auto"/>
                <w:rtl w:val="0"/>
                <w:lang w:val="ja-JP" w:eastAsia="ja-JP"/>
              </w:rPr>
              <w:t>代表者名</w:t>
            </w:r>
          </w:p>
        </w:tc>
        <w:tc>
          <w:tcPr>
            <w:tcW w:type="dxa" w:w="71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1"/>
            </w:pPr>
            <w:r>
              <w:rPr>
                <w:kern w:val="0"/>
                <w:sz w:val="21"/>
                <w:szCs w:val="21"/>
                <w:shd w:val="nil" w:color="auto" w:fill="auto"/>
                <w:rtl w:val="0"/>
                <w:lang w:val="ja-JP" w:eastAsia="ja-JP"/>
              </w:rPr>
              <w:t>阪本</w:t>
            </w:r>
            <w:r>
              <w:rPr>
                <w:kern w:val="0"/>
                <w:sz w:val="21"/>
                <w:szCs w:val="21"/>
                <w:rtl w:val="0"/>
                <w:lang w:val="ja-JP" w:eastAsia="ja-JP"/>
              </w:rPr>
              <w:t>英生</w:t>
            </w:r>
          </w:p>
        </w:tc>
      </w:tr>
      <w:tr>
        <w:tblPrEx>
          <w:shd w:val="clear" w:color="auto" w:fill="cdd4e9"/>
        </w:tblPrEx>
        <w:trPr>
          <w:trHeight w:val="290" w:hRule="atLeast"/>
        </w:trPr>
        <w:tc>
          <w:tcPr>
            <w:tcW w:type="dxa" w:w="13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1"/>
            </w:pPr>
            <w:r>
              <w:rPr>
                <w:kern w:val="0"/>
                <w:sz w:val="21"/>
                <w:szCs w:val="21"/>
                <w:shd w:val="nil" w:color="auto" w:fill="auto"/>
                <w:rtl w:val="0"/>
                <w:lang w:val="ja-JP" w:eastAsia="ja-JP"/>
              </w:rPr>
              <w:t>所在地</w:t>
            </w:r>
          </w:p>
        </w:tc>
        <w:tc>
          <w:tcPr>
            <w:tcW w:type="dxa" w:w="71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1"/>
            </w:pPr>
            <w:r>
              <w:rPr>
                <w:outline w:val="0"/>
                <w:color w:val="0f1419"/>
                <w:kern w:val="2"/>
                <w:sz w:val="23"/>
                <w:szCs w:val="23"/>
                <w:u w:color="0f1419"/>
                <w:shd w:val="clear" w:color="auto" w:fill="eff3f4"/>
                <w:rtl w:val="0"/>
                <w:lang w:val="ja-JP" w:eastAsia="ja-JP"/>
                <w14:textFill>
                  <w14:solidFill>
                    <w14:srgbClr w14:val="0F1419"/>
                  </w14:solidFill>
                </w14:textFill>
              </w:rPr>
              <w:t>〒</w:t>
            </w:r>
            <w:r>
              <w:rPr>
                <w:rFonts w:ascii="Segoe UI" w:cs="Segoe UI" w:hAnsi="Segoe UI" w:eastAsia="Segoe UI"/>
                <w:outline w:val="0"/>
                <w:color w:val="0f1419"/>
                <w:kern w:val="2"/>
                <w:sz w:val="23"/>
                <w:szCs w:val="23"/>
                <w:u w:color="0f1419"/>
                <w:shd w:val="clear" w:color="auto" w:fill="eff3f4"/>
                <w:rtl w:val="0"/>
                <w:lang w:val="ja-JP" w:eastAsia="ja-JP"/>
                <w14:textFill>
                  <w14:solidFill>
                    <w14:srgbClr w14:val="0F1419"/>
                  </w14:solidFill>
                </w14:textFill>
              </w:rPr>
              <w:t xml:space="preserve">640-8401 </w:t>
            </w:r>
            <w:r>
              <w:rPr>
                <w:kern w:val="0"/>
                <w:sz w:val="21"/>
                <w:szCs w:val="21"/>
                <w:rtl w:val="0"/>
                <w:lang w:val="ja-JP" w:eastAsia="ja-JP"/>
              </w:rPr>
              <w:t>和歌山市福島</w:t>
            </w:r>
            <w:r>
              <w:rPr>
                <w:kern w:val="0"/>
                <w:sz w:val="21"/>
                <w:szCs w:val="21"/>
                <w:rtl w:val="0"/>
                <w:lang w:val="ja-JP" w:eastAsia="ja-JP"/>
              </w:rPr>
              <w:t>435</w:t>
            </w:r>
            <w:r>
              <w:rPr>
                <w:kern w:val="0"/>
                <w:sz w:val="21"/>
                <w:szCs w:val="21"/>
                <w:rtl w:val="0"/>
                <w:lang w:val="ja-JP" w:eastAsia="ja-JP"/>
              </w:rPr>
              <w:t>−</w:t>
            </w:r>
            <w:r>
              <w:rPr>
                <w:kern w:val="0"/>
                <w:sz w:val="21"/>
                <w:szCs w:val="21"/>
                <w:rtl w:val="0"/>
                <w:lang w:val="ja-JP" w:eastAsia="ja-JP"/>
              </w:rPr>
              <w:t>8</w:t>
            </w:r>
            <w:r>
              <w:rPr>
                <w:kern w:val="0"/>
                <w:sz w:val="21"/>
                <w:szCs w:val="21"/>
                <w:shd w:val="nil" w:color="auto" w:fill="auto"/>
                <w:rtl w:val="0"/>
                <w:lang w:val="ja-JP" w:eastAsia="ja-JP"/>
              </w:rPr>
              <w:t>　　</w:t>
            </w:r>
          </w:p>
        </w:tc>
      </w:tr>
      <w:tr>
        <w:tblPrEx>
          <w:shd w:val="clear" w:color="auto" w:fill="cdd4e9"/>
        </w:tblPrEx>
        <w:trPr>
          <w:trHeight w:val="1580" w:hRule="atLeast"/>
        </w:trPr>
        <w:tc>
          <w:tcPr>
            <w:tcW w:type="dxa" w:w="13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1"/>
            </w:pPr>
            <w:r>
              <w:rPr>
                <w:kern w:val="0"/>
                <w:sz w:val="21"/>
                <w:szCs w:val="21"/>
                <w:shd w:val="nil" w:color="auto" w:fill="auto"/>
                <w:rtl w:val="0"/>
                <w:lang w:val="ja-JP" w:eastAsia="ja-JP"/>
              </w:rPr>
              <w:t>お問い合わせ</w:t>
            </w:r>
          </w:p>
        </w:tc>
        <w:tc>
          <w:tcPr>
            <w:tcW w:type="dxa" w:w="71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1"/>
              <w:rPr>
                <w:kern w:val="0"/>
                <w:sz w:val="24"/>
                <w:szCs w:val="24"/>
                <w:shd w:val="nil" w:color="auto" w:fill="auto"/>
              </w:rPr>
            </w:pPr>
            <w:r>
              <w:rPr>
                <w:kern w:val="0"/>
                <w:sz w:val="21"/>
                <w:szCs w:val="21"/>
                <w:shd w:val="nil" w:color="auto" w:fill="auto"/>
                <w:rtl w:val="0"/>
                <w:lang w:val="ja-JP" w:eastAsia="ja-JP"/>
              </w:rPr>
              <w:t>こちら（</w:t>
            </w:r>
            <w:r>
              <w:rPr>
                <w:kern w:val="0"/>
                <w:sz w:val="21"/>
                <w:szCs w:val="21"/>
                <w:rtl w:val="0"/>
                <w:lang w:val="ja-JP" w:eastAsia="ja-JP"/>
              </w:rPr>
              <w:t>rs125.hide</w:t>
            </w:r>
            <w:r>
              <w:rPr>
                <w:kern w:val="0"/>
                <w:sz w:val="21"/>
                <w:szCs w:val="21"/>
                <w:shd w:val="nil" w:color="auto" w:fill="auto"/>
                <w:rtl w:val="0"/>
                <w:lang w:val="en-US"/>
              </w:rPr>
              <w:t>@gmail.com</w:t>
            </w:r>
            <w:r>
              <w:rPr>
                <w:kern w:val="0"/>
                <w:sz w:val="21"/>
                <w:szCs w:val="21"/>
                <w:shd w:val="nil" w:color="auto" w:fill="auto"/>
                <w:rtl w:val="0"/>
                <w:lang w:val="ja-JP" w:eastAsia="ja-JP"/>
              </w:rPr>
              <w:t>）からお問い合わせください。</w:t>
            </w:r>
          </w:p>
          <w:p>
            <w:pPr>
              <w:pStyle w:val="Normal.0"/>
              <w:widowControl w:val="1"/>
              <w:bidi w:val="0"/>
              <w:ind w:left="0" w:right="0" w:firstLine="0"/>
              <w:jc w:val="both"/>
              <w:rPr>
                <w:rtl w:val="0"/>
              </w:rPr>
            </w:pPr>
            <w:r>
              <w:rPr>
                <w:kern w:val="0"/>
                <w:sz w:val="21"/>
                <w:szCs w:val="21"/>
                <w:shd w:val="nil" w:color="auto" w:fill="auto"/>
                <w:rtl w:val="0"/>
                <w:lang w:val="en-US"/>
              </w:rPr>
              <w:t>※</w:t>
            </w:r>
            <w:r>
              <w:rPr>
                <w:kern w:val="0"/>
                <w:sz w:val="21"/>
                <w:szCs w:val="21"/>
                <w:shd w:val="nil" w:color="auto" w:fill="auto"/>
                <w:rtl w:val="0"/>
                <w:lang w:val="ja-JP" w:eastAsia="ja-JP"/>
              </w:rPr>
              <w:t>弊社電話番号はお客様からのご要望に基づき遅滞なく電子メールにて通知いたします。弊社電話番号が必要なお客様は上記フォームよりお申し出ください。</w:t>
            </w:r>
            <w:r>
              <w:rPr>
                <w:kern w:val="0"/>
                <w:sz w:val="24"/>
                <w:szCs w:val="24"/>
                <w:shd w:val="nil" w:color="auto" w:fill="auto"/>
              </w:rPr>
            </w:r>
          </w:p>
        </w:tc>
      </w:tr>
      <w:tr>
        <w:tblPrEx>
          <w:shd w:val="clear" w:color="auto" w:fill="cdd4e9"/>
        </w:tblPrEx>
        <w:trPr>
          <w:trHeight w:val="505" w:hRule="atLeast"/>
        </w:trPr>
        <w:tc>
          <w:tcPr>
            <w:tcW w:type="dxa" w:w="13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1"/>
            </w:pPr>
            <w:r>
              <w:rPr>
                <w:kern w:val="0"/>
                <w:sz w:val="21"/>
                <w:szCs w:val="21"/>
                <w:shd w:val="nil" w:color="auto" w:fill="auto"/>
                <w:rtl w:val="0"/>
                <w:lang w:val="ja-JP" w:eastAsia="ja-JP"/>
              </w:rPr>
              <w:t>販売価格</w:t>
            </w:r>
          </w:p>
        </w:tc>
        <w:tc>
          <w:tcPr>
            <w:tcW w:type="dxa" w:w="71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1"/>
              <w:rPr>
                <w:kern w:val="0"/>
                <w:sz w:val="24"/>
                <w:szCs w:val="24"/>
                <w:shd w:val="nil" w:color="auto" w:fill="auto"/>
              </w:rPr>
            </w:pPr>
            <w:r>
              <w:rPr>
                <w:kern w:val="0"/>
                <w:sz w:val="21"/>
                <w:szCs w:val="21"/>
                <w:shd w:val="nil" w:color="auto" w:fill="auto"/>
                <w:rtl w:val="0"/>
                <w:lang w:val="ja-JP" w:eastAsia="ja-JP"/>
              </w:rPr>
              <w:t>購入手続きの際に画面に表示されます。</w:t>
            </w:r>
          </w:p>
          <w:p>
            <w:pPr>
              <w:pStyle w:val="Normal.0"/>
              <w:widowControl w:val="1"/>
              <w:bidi w:val="0"/>
              <w:ind w:left="0" w:right="0" w:firstLine="0"/>
              <w:jc w:val="both"/>
              <w:rPr>
                <w:rtl w:val="0"/>
              </w:rPr>
            </w:pPr>
            <w:r>
              <w:rPr>
                <w:kern w:val="0"/>
                <w:sz w:val="21"/>
                <w:szCs w:val="21"/>
                <w:shd w:val="nil" w:color="auto" w:fill="auto"/>
                <w:rtl w:val="0"/>
                <w:lang w:val="ja-JP" w:eastAsia="ja-JP"/>
              </w:rPr>
              <w:t>消費税は内税として表示しております。</w:t>
            </w:r>
          </w:p>
        </w:tc>
      </w:tr>
      <w:tr>
        <w:tblPrEx>
          <w:shd w:val="clear" w:color="auto" w:fill="cdd4e9"/>
        </w:tblPrEx>
        <w:trPr>
          <w:trHeight w:val="1105" w:hRule="atLeast"/>
        </w:trPr>
        <w:tc>
          <w:tcPr>
            <w:tcW w:type="dxa" w:w="13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1"/>
            </w:pPr>
            <w:r>
              <w:rPr>
                <w:kern w:val="0"/>
                <w:sz w:val="21"/>
                <w:szCs w:val="21"/>
                <w:shd w:val="nil" w:color="auto" w:fill="auto"/>
                <w:rtl w:val="0"/>
                <w:lang w:val="ja-JP" w:eastAsia="ja-JP"/>
              </w:rPr>
              <w:t>販売価格以外でお客様に発生する金銭</w:t>
            </w:r>
          </w:p>
        </w:tc>
        <w:tc>
          <w:tcPr>
            <w:tcW w:type="dxa" w:w="71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1"/>
            </w:pPr>
            <w:r>
              <w:rPr>
                <w:kern w:val="0"/>
                <w:sz w:val="21"/>
                <w:szCs w:val="21"/>
                <w:shd w:val="nil" w:color="auto" w:fill="auto"/>
                <w:rtl w:val="0"/>
                <w:lang w:val="ja-JP" w:eastAsia="ja-JP"/>
              </w:rPr>
              <w:t>当サイトのページの閲覧、コンテンツ購入、ソフトウェアのダウンロード等に必要となるインターネット接続料金、通信料金は、お客様のご負担となります。</w:t>
            </w:r>
          </w:p>
        </w:tc>
      </w:tr>
      <w:tr>
        <w:tblPrEx>
          <w:shd w:val="clear" w:color="auto" w:fill="cdd4e9"/>
        </w:tblPrEx>
        <w:trPr>
          <w:trHeight w:val="850" w:hRule="atLeast"/>
        </w:trPr>
        <w:tc>
          <w:tcPr>
            <w:tcW w:type="dxa" w:w="13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1"/>
            </w:pPr>
            <w:r>
              <w:rPr>
                <w:kern w:val="0"/>
                <w:sz w:val="21"/>
                <w:szCs w:val="21"/>
                <w:shd w:val="nil" w:color="auto" w:fill="auto"/>
                <w:rtl w:val="0"/>
                <w:lang w:val="ja-JP" w:eastAsia="ja-JP"/>
              </w:rPr>
              <w:t>お支払方法</w:t>
            </w:r>
            <w:r>
              <w:rPr>
                <w:kern w:val="0"/>
                <w:sz w:val="24"/>
                <w:szCs w:val="24"/>
                <w:shd w:val="nil" w:color="auto" w:fill="auto"/>
              </w:rPr>
            </w:r>
          </w:p>
        </w:tc>
        <w:tc>
          <w:tcPr>
            <w:tcW w:type="dxa" w:w="71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1"/>
              <w:rPr>
                <w:kern w:val="0"/>
                <w:sz w:val="24"/>
                <w:szCs w:val="24"/>
                <w:shd w:val="nil" w:color="auto" w:fill="auto"/>
              </w:rPr>
            </w:pPr>
            <w:r>
              <w:rPr>
                <w:kern w:val="0"/>
                <w:sz w:val="21"/>
                <w:szCs w:val="21"/>
                <w:shd w:val="nil" w:color="auto" w:fill="auto"/>
                <w:rtl w:val="0"/>
                <w:lang w:val="ja-JP" w:eastAsia="ja-JP"/>
              </w:rPr>
              <w:t>以下のいずれかのお支払方法をご利用いただけます。</w:t>
            </w:r>
          </w:p>
          <w:p>
            <w:pPr>
              <w:pStyle w:val="Normal.0"/>
              <w:widowControl w:val="1"/>
              <w:bidi w:val="0"/>
              <w:ind w:left="0" w:right="0" w:firstLine="0"/>
              <w:jc w:val="both"/>
              <w:rPr>
                <w:kern w:val="0"/>
                <w:sz w:val="24"/>
                <w:szCs w:val="24"/>
                <w:shd w:val="nil" w:color="auto" w:fill="auto"/>
                <w:rtl w:val="0"/>
              </w:rPr>
            </w:pPr>
            <w:r>
              <w:rPr>
                <w:kern w:val="0"/>
                <w:sz w:val="21"/>
                <w:szCs w:val="21"/>
                <w:shd w:val="nil" w:color="auto" w:fill="auto"/>
                <w:rtl w:val="0"/>
                <w:lang w:val="ja-JP" w:eastAsia="ja-JP"/>
              </w:rPr>
              <w:t>・各種クレジットカード</w:t>
            </w:r>
          </w:p>
          <w:p>
            <w:pPr>
              <w:pStyle w:val="Normal.0"/>
              <w:widowControl w:val="1"/>
              <w:bidi w:val="0"/>
              <w:ind w:left="0" w:right="0" w:firstLine="0"/>
              <w:jc w:val="both"/>
              <w:rPr>
                <w:rtl w:val="0"/>
              </w:rPr>
            </w:pPr>
            <w:r>
              <w:rPr>
                <w:kern w:val="0"/>
                <w:sz w:val="21"/>
                <w:szCs w:val="21"/>
                <w:shd w:val="nil" w:color="auto" w:fill="auto"/>
                <w:rtl w:val="0"/>
                <w:lang w:val="ja-JP" w:eastAsia="ja-JP"/>
              </w:rPr>
              <w:t>・銀行振り込み</w:t>
            </w:r>
            <w:r>
              <w:rPr>
                <w:kern w:val="0"/>
                <w:sz w:val="21"/>
                <w:szCs w:val="21"/>
                <w:rtl w:val="0"/>
                <w:lang w:val="ja-JP" w:eastAsia="ja-JP"/>
              </w:rPr>
              <w:t>、</w:t>
            </w:r>
            <w:r>
              <w:rPr>
                <w:kern w:val="0"/>
                <w:sz w:val="21"/>
                <w:szCs w:val="21"/>
                <w:rtl w:val="0"/>
                <w:lang w:val="ja-JP" w:eastAsia="ja-JP"/>
              </w:rPr>
              <w:t>PayPay</w:t>
            </w:r>
            <w:r>
              <w:rPr>
                <w:kern w:val="0"/>
                <w:sz w:val="21"/>
                <w:szCs w:val="21"/>
                <w:rtl w:val="0"/>
                <w:lang w:val="ja-JP" w:eastAsia="ja-JP"/>
              </w:rPr>
              <w:t>、</w:t>
            </w:r>
            <w:r>
              <w:rPr>
                <w:kern w:val="0"/>
                <w:sz w:val="21"/>
                <w:szCs w:val="21"/>
                <w:rtl w:val="0"/>
                <w:lang w:val="ja-JP" w:eastAsia="ja-JP"/>
              </w:rPr>
              <w:t xml:space="preserve">LINEPay </w:t>
            </w:r>
          </w:p>
        </w:tc>
      </w:tr>
      <w:tr>
        <w:tblPrEx>
          <w:shd w:val="clear" w:color="auto" w:fill="cdd4e9"/>
        </w:tblPrEx>
        <w:trPr>
          <w:trHeight w:val="505" w:hRule="atLeast"/>
        </w:trPr>
        <w:tc>
          <w:tcPr>
            <w:tcW w:type="dxa" w:w="13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1"/>
            </w:pPr>
            <w:r>
              <w:rPr>
                <w:kern w:val="0"/>
                <w:sz w:val="21"/>
                <w:szCs w:val="21"/>
                <w:shd w:val="nil" w:color="auto" w:fill="auto"/>
                <w:rtl w:val="0"/>
                <w:lang w:val="ja-JP" w:eastAsia="ja-JP"/>
              </w:rPr>
              <w:t>商品購入方法</w:t>
            </w:r>
          </w:p>
        </w:tc>
        <w:tc>
          <w:tcPr>
            <w:tcW w:type="dxa" w:w="71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1"/>
            </w:pPr>
            <w:r>
              <w:rPr>
                <w:kern w:val="0"/>
                <w:sz w:val="21"/>
                <w:szCs w:val="21"/>
                <w:shd w:val="nil" w:color="auto" w:fill="auto"/>
                <w:rtl w:val="0"/>
                <w:lang w:val="ja-JP" w:eastAsia="ja-JP"/>
              </w:rPr>
              <w:t>商品の詳細が書かれているページにて決済リンクを配置しております</w:t>
            </w:r>
          </w:p>
        </w:tc>
      </w:tr>
      <w:tr>
        <w:tblPrEx>
          <w:shd w:val="clear" w:color="auto" w:fill="cdd4e9"/>
        </w:tblPrEx>
        <w:trPr>
          <w:trHeight w:val="1105" w:hRule="atLeast"/>
        </w:trPr>
        <w:tc>
          <w:tcPr>
            <w:tcW w:type="dxa" w:w="13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1"/>
            </w:pPr>
            <w:r>
              <w:rPr>
                <w:kern w:val="0"/>
                <w:sz w:val="21"/>
                <w:szCs w:val="21"/>
                <w:shd w:val="nil" w:color="auto" w:fill="auto"/>
                <w:rtl w:val="0"/>
                <w:lang w:val="ja-JP" w:eastAsia="ja-JP"/>
              </w:rPr>
              <w:t>デジタルアイテム等の利用が可能となる時期</w:t>
            </w:r>
          </w:p>
        </w:tc>
        <w:tc>
          <w:tcPr>
            <w:tcW w:type="dxa" w:w="71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1"/>
            </w:pPr>
            <w:r>
              <w:rPr>
                <w:kern w:val="0"/>
                <w:sz w:val="21"/>
                <w:szCs w:val="21"/>
                <w:shd w:val="nil" w:color="auto" w:fill="auto"/>
                <w:rtl w:val="0"/>
                <w:lang w:val="ja-JP" w:eastAsia="ja-JP"/>
              </w:rPr>
              <w:t>特別な定めを置いている場合を除き、お支払い手続き完了後直ちにご利用いただけます。</w:t>
            </w:r>
          </w:p>
        </w:tc>
      </w:tr>
      <w:tr>
        <w:tblPrEx>
          <w:shd w:val="clear" w:color="auto" w:fill="cdd4e9"/>
        </w:tblPrEx>
        <w:trPr>
          <w:trHeight w:val="290" w:hRule="atLeast"/>
        </w:trPr>
        <w:tc>
          <w:tcPr>
            <w:tcW w:type="dxa" w:w="13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1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2170" w:hRule="atLeast"/>
        </w:trPr>
        <w:tc>
          <w:tcPr>
            <w:tcW w:type="dxa" w:w="13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1"/>
            </w:pPr>
            <w:r>
              <w:rPr>
                <w:kern w:val="0"/>
                <w:sz w:val="21"/>
                <w:szCs w:val="21"/>
                <w:shd w:val="nil" w:color="auto" w:fill="auto"/>
                <w:rtl w:val="0"/>
                <w:lang w:val="ja-JP" w:eastAsia="ja-JP"/>
              </w:rPr>
              <w:t>返品・キャンセル</w:t>
            </w:r>
          </w:p>
        </w:tc>
        <w:tc>
          <w:tcPr>
            <w:tcW w:type="dxa" w:w="71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1"/>
              <w:jc w:val="left"/>
              <w:rPr>
                <w:kern w:val="0"/>
                <w:sz w:val="24"/>
                <w:szCs w:val="24"/>
                <w:shd w:val="nil" w:color="auto" w:fill="auto"/>
              </w:rPr>
            </w:pPr>
            <w:r>
              <w:rPr>
                <w:kern w:val="0"/>
                <w:sz w:val="20"/>
                <w:szCs w:val="20"/>
                <w:shd w:val="nil" w:color="auto" w:fill="auto"/>
                <w:rtl w:val="0"/>
                <w:lang w:val="ja-JP" w:eastAsia="ja-JP"/>
              </w:rPr>
              <w:t>１</w:t>
            </w:r>
            <w:r>
              <w:rPr>
                <w:kern w:val="0"/>
                <w:sz w:val="20"/>
                <w:szCs w:val="20"/>
                <w:shd w:val="nil" w:color="auto" w:fill="auto"/>
                <w:rtl w:val="0"/>
                <w:lang w:val="en-US"/>
              </w:rPr>
              <w:t>.</w:t>
            </w:r>
            <w:r>
              <w:rPr>
                <w:kern w:val="0"/>
                <w:sz w:val="20"/>
                <w:szCs w:val="20"/>
                <w:shd w:val="nil" w:color="auto" w:fill="auto"/>
                <w:rtl w:val="0"/>
                <w:lang w:val="ja-JP" w:eastAsia="ja-JP"/>
              </w:rPr>
              <w:t>お客様のご都合による返品・キャンセル</w:t>
            </w:r>
          </w:p>
          <w:p>
            <w:pPr>
              <w:pStyle w:val="Normal.0"/>
              <w:widowControl w:val="1"/>
              <w:bidi w:val="0"/>
              <w:ind w:left="0" w:right="0" w:firstLine="0"/>
              <w:jc w:val="left"/>
              <w:rPr>
                <w:kern w:val="0"/>
                <w:sz w:val="24"/>
                <w:szCs w:val="24"/>
                <w:shd w:val="nil" w:color="auto" w:fill="auto"/>
                <w:rtl w:val="0"/>
              </w:rPr>
            </w:pPr>
            <w:r>
              <w:rPr>
                <w:kern w:val="0"/>
                <w:sz w:val="20"/>
                <w:szCs w:val="20"/>
                <w:shd w:val="nil" w:color="auto" w:fill="auto"/>
                <w:rtl w:val="0"/>
                <w:lang w:val="ja-JP" w:eastAsia="ja-JP"/>
              </w:rPr>
              <w:t>商品説明に返金保証ありと書いてある商品以外は、商品の性質上、各商品ご購入後の返金・返品はできかねます。あらかじめ月額コース対象コンテンツ、利用環境・対応機種および各アプリケーションの利用環境・対応機種をよくお確かめの上、お申込み、もしくはご購入願います。</w:t>
            </w:r>
          </w:p>
          <w:p>
            <w:pPr>
              <w:pStyle w:val="Normal.0"/>
              <w:widowControl w:val="1"/>
              <w:bidi w:val="0"/>
              <w:ind w:left="0" w:right="0" w:firstLine="0"/>
              <w:jc w:val="left"/>
              <w:rPr>
                <w:rtl w:val="0"/>
              </w:rPr>
            </w:pPr>
            <w:r>
              <w:rPr>
                <w:kern w:val="0"/>
                <w:sz w:val="20"/>
                <w:szCs w:val="20"/>
                <w:shd w:val="nil" w:color="auto" w:fill="auto"/>
                <w:rtl w:val="0"/>
                <w:lang w:val="ja-JP" w:eastAsia="ja-JP"/>
              </w:rPr>
              <w:t>２</w:t>
            </w:r>
            <w:r>
              <w:rPr>
                <w:kern w:val="0"/>
                <w:sz w:val="20"/>
                <w:szCs w:val="20"/>
                <w:shd w:val="nil" w:color="auto" w:fill="auto"/>
                <w:rtl w:val="0"/>
                <w:lang w:val="en-US"/>
              </w:rPr>
              <w:t>.</w:t>
            </w:r>
            <w:r>
              <w:rPr>
                <w:kern w:val="0"/>
                <w:sz w:val="20"/>
                <w:szCs w:val="20"/>
                <w:shd w:val="nil" w:color="auto" w:fill="auto"/>
                <w:rtl w:val="0"/>
                <w:lang w:val="ja-JP" w:eastAsia="ja-JP"/>
              </w:rPr>
              <w:t>アプリケーションの瑕疵に基づく返品（キャンセル）</w:t>
            </w:r>
            <w:r>
              <w:rPr>
                <w:kern w:val="0"/>
                <w:sz w:val="24"/>
                <w:szCs w:val="24"/>
                <w:shd w:val="nil" w:color="auto" w:fill="auto"/>
              </w:rPr>
            </w:r>
          </w:p>
        </w:tc>
      </w:tr>
      <w:tr>
        <w:tblPrEx>
          <w:shd w:val="clear" w:color="auto" w:fill="cdd4e9"/>
        </w:tblPrEx>
        <w:trPr>
          <w:trHeight w:val="2010" w:hRule="atLeast"/>
        </w:trPr>
        <w:tc>
          <w:tcPr>
            <w:tcW w:type="dxa" w:w="13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1"/>
            </w:pPr>
            <w:r>
              <w:rPr>
                <w:kern w:val="0"/>
                <w:sz w:val="21"/>
                <w:szCs w:val="21"/>
                <w:shd w:val="nil" w:color="auto" w:fill="auto"/>
                <w:rtl w:val="0"/>
                <w:lang w:val="ja-JP" w:eastAsia="ja-JP"/>
              </w:rPr>
              <w:t>特別条件</w:t>
            </w:r>
          </w:p>
        </w:tc>
        <w:tc>
          <w:tcPr>
            <w:tcW w:type="dxa" w:w="71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1"/>
              <w:jc w:val="left"/>
              <w:rPr>
                <w:kern w:val="0"/>
                <w:sz w:val="24"/>
                <w:szCs w:val="24"/>
                <w:shd w:val="nil" w:color="auto" w:fill="auto"/>
              </w:rPr>
            </w:pPr>
            <w:r>
              <w:rPr>
                <w:kern w:val="0"/>
                <w:sz w:val="20"/>
                <w:szCs w:val="20"/>
                <w:shd w:val="nil" w:color="auto" w:fill="auto"/>
                <w:rtl w:val="0"/>
                <w:lang w:val="ja-JP" w:eastAsia="ja-JP"/>
              </w:rPr>
              <w:t>１．クーリングオフについて</w:t>
            </w:r>
          </w:p>
          <w:p>
            <w:pPr>
              <w:pStyle w:val="Normal.0"/>
              <w:widowControl w:val="1"/>
              <w:bidi w:val="0"/>
              <w:ind w:left="0" w:right="0" w:firstLine="0"/>
              <w:jc w:val="left"/>
              <w:rPr>
                <w:kern w:val="0"/>
                <w:sz w:val="24"/>
                <w:szCs w:val="24"/>
                <w:shd w:val="nil" w:color="auto" w:fill="auto"/>
                <w:rtl w:val="0"/>
              </w:rPr>
            </w:pPr>
            <w:r>
              <w:rPr>
                <w:kern w:val="0"/>
                <w:sz w:val="20"/>
                <w:szCs w:val="20"/>
                <w:shd w:val="nil" w:color="auto" w:fill="auto"/>
                <w:rtl w:val="0"/>
                <w:lang w:val="ja-JP" w:eastAsia="ja-JP"/>
              </w:rPr>
              <w:t>特定商取引法に規定されているクーリングオフが適用されるサービスではありません。</w:t>
            </w:r>
          </w:p>
          <w:p>
            <w:pPr>
              <w:pStyle w:val="Normal.0"/>
              <w:widowControl w:val="1"/>
              <w:bidi w:val="0"/>
              <w:ind w:left="0" w:right="0" w:firstLine="0"/>
              <w:jc w:val="left"/>
              <w:rPr>
                <w:kern w:val="0"/>
                <w:sz w:val="24"/>
                <w:szCs w:val="24"/>
                <w:shd w:val="nil" w:color="auto" w:fill="auto"/>
                <w:rtl w:val="0"/>
              </w:rPr>
            </w:pPr>
            <w:r>
              <w:rPr>
                <w:kern w:val="0"/>
                <w:sz w:val="20"/>
                <w:szCs w:val="20"/>
                <w:shd w:val="nil" w:color="auto" w:fill="auto"/>
                <w:rtl w:val="0"/>
                <w:lang w:val="ja-JP" w:eastAsia="ja-JP"/>
              </w:rPr>
              <w:t>２．定期課金方式の注意事項</w:t>
            </w:r>
          </w:p>
          <w:p>
            <w:pPr>
              <w:pStyle w:val="Normal.0"/>
              <w:widowControl w:val="1"/>
              <w:bidi w:val="0"/>
              <w:ind w:left="0" w:right="0" w:firstLine="0"/>
              <w:jc w:val="left"/>
              <w:rPr>
                <w:rtl w:val="0"/>
              </w:rPr>
            </w:pPr>
            <w:r>
              <w:rPr>
                <w:kern w:val="0"/>
                <w:sz w:val="20"/>
                <w:szCs w:val="20"/>
                <w:shd w:val="nil" w:color="auto" w:fill="auto"/>
                <w:rtl w:val="0"/>
                <w:lang w:val="ja-JP" w:eastAsia="ja-JP"/>
              </w:rPr>
              <w:t>契約期間途中の解約となった場合も契約満了日までの料金が発生し、日割精算等による返金を含めた一切の返金は行われません。この場合、サービスも契約満了日まで提供されます。</w:t>
            </w:r>
          </w:p>
        </w:tc>
      </w:tr>
    </w:tbl>
    <w:p>
      <w:pPr>
        <w:pStyle w:val="Normal.0"/>
        <w:jc w:val="center"/>
      </w:pPr>
      <w:r>
        <w:rPr>
          <w:kern w:val="0"/>
          <w:sz w:val="28"/>
          <w:szCs w:val="28"/>
          <w:lang w:val="ja-JP" w:eastAsia="ja-JP"/>
        </w:rPr>
      </w:r>
    </w:p>
    <w:sectPr>
      <w:headerReference w:type="default" r:id="rId4"/>
      <w:footerReference w:type="default" r:id="rId5"/>
      <w:pgSz w:w="11900" w:h="16840" w:orient="portrait"/>
      <w:pgMar w:top="1985" w:right="1701" w:bottom="1701" w:left="1701" w:header="851" w:footer="992"/>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ヒラギノ角ゴ ProN W3">
    <w:charset w:val="00"/>
    <w:family w:val="roman"/>
    <w:pitch w:val="default"/>
  </w:font>
  <w:font w:name="游明朝">
    <w:charset w:val="00"/>
    <w:family w:val="roman"/>
    <w:pitch w:val="default"/>
  </w:font>
  <w:font w:name="Segoe U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ヘッダとフッタ"/>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ヘッダとフッタ"/>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840"/>
  <w:autoHyphenation w:val="0"/>
  <w:evenAndOddHeaders w:val="0"/>
  <w:bookFoldPrinting w:val="0"/>
  <w:noLineBreaksAfter w:lang="日本語" w:val="‘“(〔[{〈《「『【⦅〘〖«〝︵︷︹︻︽︿﹁﹃﹇﹙﹛﹝｢"/>
  <w:noLineBreaksBefore w:lang="日本語"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ヘッダとフッタ">
    <w:name w:val="ヘッダとフッタ"/>
    <w:next w:val="ヘッダとフッタ"/>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ヒラギノ角ゴ ProN W3" w:cs="Arial Unicode MS" w:hAnsi="ヒラギノ角ゴ ProN W3"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0"/>
      <w:shd w:val="clear" w:color="auto" w:fill="auto"/>
      <w:suppressAutoHyphens w:val="0"/>
      <w:bidi w:val="0"/>
      <w:spacing w:before="0" w:after="0" w:line="240" w:lineRule="auto"/>
      <w:ind w:left="0" w:right="0" w:firstLine="0"/>
      <w:jc w:val="both"/>
      <w:outlineLvl w:val="9"/>
    </w:pPr>
    <w:rPr>
      <w:rFonts w:ascii="游明朝" w:cs="游明朝" w:hAnsi="游明朝" w:eastAsia="游明朝"/>
      <w:b w:val="0"/>
      <w:bCs w:val="0"/>
      <w:i w:val="0"/>
      <w:iCs w:val="0"/>
      <w:caps w:val="0"/>
      <w:smallCaps w:val="0"/>
      <w:strike w:val="0"/>
      <w:dstrike w:val="0"/>
      <w:outline w:val="0"/>
      <w:color w:val="000000"/>
      <w:spacing w:val="0"/>
      <w:kern w:val="2"/>
      <w:position w:val="0"/>
      <w:sz w:val="21"/>
      <w:szCs w:val="21"/>
      <w:u w:val="none" w:color="000000"/>
      <w:shd w:val="nil" w:color="auto" w:fill="auto"/>
      <w:vertAlign w:val="baseline"/>
      <w:lang w:val="en-US"/>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テーマ">
  <a:themeElements>
    <a:clrScheme name="Office テーマ">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テーマ">
      <a:majorFont>
        <a:latin typeface="ヒラギノ角ゴ ProN W6"/>
        <a:ea typeface="ヒラギノ角ゴ ProN W6"/>
        <a:cs typeface="ヒラギノ角ゴ ProN W6"/>
      </a:majorFont>
      <a:minorFont>
        <a:latin typeface="ヒラギノ角ゴ ProN W3"/>
        <a:ea typeface="ヒラギノ角ゴ ProN W3"/>
        <a:cs typeface="ヒラギノ角ゴ ProN W3"/>
      </a:minorFont>
    </a:fontScheme>
    <a:fmtScheme name="Office テーマ">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游明朝"/>
            <a:ea typeface="游明朝"/>
            <a:cs typeface="游明朝"/>
            <a:sym typeface="游明朝"/>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游明朝"/>
            <a:ea typeface="游明朝"/>
            <a:cs typeface="游明朝"/>
            <a:sym typeface="游明朝"/>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